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4" w:rsidRPr="00F96E14" w:rsidRDefault="00F96E14" w:rsidP="00F96E14">
      <w:pPr>
        <w:pStyle w:val="Heading1"/>
        <w:jc w:val="center"/>
        <w:rPr>
          <w:rFonts w:ascii="Arial" w:hAnsi="Arial" w:cs="Arial"/>
          <w:b/>
          <w:sz w:val="36"/>
          <w:szCs w:val="36"/>
        </w:rPr>
      </w:pPr>
      <w:r w:rsidRPr="00F96E14">
        <w:rPr>
          <w:rFonts w:ascii="Arial" w:hAnsi="Arial" w:cs="Arial"/>
          <w:b/>
          <w:color w:val="385623" w:themeColor="accent6" w:themeShade="80"/>
          <w:sz w:val="36"/>
          <w:szCs w:val="36"/>
        </w:rPr>
        <w:t>Competency Assessment Behaviours</w:t>
      </w:r>
    </w:p>
    <w:p w:rsidR="00F96E14" w:rsidRDefault="00F96E14" w:rsidP="00F96E14">
      <w:pPr>
        <w:spacing w:line="360" w:lineRule="auto"/>
        <w:rPr>
          <w:rFonts w:ascii="Arial" w:hAnsi="Arial" w:cs="Arial"/>
          <w:sz w:val="28"/>
          <w:szCs w:val="28"/>
        </w:rPr>
      </w:pPr>
    </w:p>
    <w:p w:rsidR="00891696" w:rsidRPr="001C7B52" w:rsidRDefault="00F96E14" w:rsidP="00F96E14">
      <w:pPr>
        <w:spacing w:line="360" w:lineRule="auto"/>
        <w:rPr>
          <w:rFonts w:ascii="Arial" w:hAnsi="Arial" w:cs="Arial"/>
          <w:sz w:val="24"/>
          <w:szCs w:val="24"/>
        </w:rPr>
      </w:pPr>
      <w:r w:rsidRPr="001C7B52">
        <w:rPr>
          <w:rFonts w:ascii="Arial" w:hAnsi="Arial" w:cs="Arial"/>
          <w:sz w:val="24"/>
          <w:szCs w:val="24"/>
        </w:rPr>
        <w:t>During the 4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Pr="001C7B52">
        <w:rPr>
          <w:rFonts w:ascii="Arial" w:hAnsi="Arial" w:cs="Arial"/>
          <w:sz w:val="24"/>
          <w:szCs w:val="24"/>
        </w:rPr>
        <w:t xml:space="preserve"> year placement</w:t>
      </w:r>
      <w:r w:rsidR="000A397B" w:rsidRPr="001C7B52">
        <w:rPr>
          <w:rFonts w:ascii="Arial" w:hAnsi="Arial" w:cs="Arial"/>
          <w:sz w:val="24"/>
          <w:szCs w:val="24"/>
        </w:rPr>
        <w:t xml:space="preserve"> in 2018</w:t>
      </w:r>
      <w:r w:rsidRPr="001C7B52">
        <w:rPr>
          <w:rFonts w:ascii="Arial" w:hAnsi="Arial" w:cs="Arial"/>
          <w:sz w:val="24"/>
          <w:szCs w:val="24"/>
        </w:rPr>
        <w:t xml:space="preserve">, there will be two Competency Assessments. </w:t>
      </w:r>
    </w:p>
    <w:p w:rsidR="001C7B52" w:rsidRDefault="001C7B52" w:rsidP="001C7B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</w:p>
    <w:p w:rsidR="00891696" w:rsidRPr="001C7B52" w:rsidRDefault="00891696" w:rsidP="001C7B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1C7B52">
        <w:rPr>
          <w:rFonts w:ascii="Arial" w:hAnsi="Arial" w:cs="Arial"/>
          <w:b/>
          <w:color w:val="auto"/>
          <w:sz w:val="28"/>
          <w:szCs w:val="28"/>
        </w:rPr>
        <w:t>First (formative) Competency Assessment:</w:t>
      </w:r>
    </w:p>
    <w:p w:rsidR="00891696" w:rsidRDefault="00891696" w:rsidP="005A6D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Purpose</w:t>
      </w:r>
      <w:r w:rsidRPr="001C7B52">
        <w:rPr>
          <w:rFonts w:ascii="Arial" w:hAnsi="Arial" w:cs="Arial"/>
          <w:sz w:val="24"/>
          <w:szCs w:val="24"/>
        </w:rPr>
        <w:t>: to allow the student to identify behaviours that they need to practice and improve upon.</w:t>
      </w:r>
    </w:p>
    <w:p w:rsidR="005A6DB2" w:rsidRPr="001C7B52" w:rsidRDefault="005A6DB2" w:rsidP="005A6D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Date</w:t>
      </w:r>
      <w:r w:rsidRPr="001C7B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</w:t>
      </w:r>
      <w:r w:rsidRPr="001C7B52">
        <w:rPr>
          <w:rFonts w:ascii="Arial" w:hAnsi="Arial" w:cs="Arial"/>
          <w:sz w:val="24"/>
          <w:szCs w:val="24"/>
        </w:rPr>
        <w:t xml:space="preserve"> be completed by the end of week five of placement (6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Pr="001C7B52">
        <w:rPr>
          <w:rFonts w:ascii="Arial" w:hAnsi="Arial" w:cs="Arial"/>
          <w:sz w:val="24"/>
          <w:szCs w:val="24"/>
        </w:rPr>
        <w:t xml:space="preserve"> October).</w:t>
      </w:r>
    </w:p>
    <w:p w:rsidR="001C7B52" w:rsidRDefault="001C7B52" w:rsidP="001C7B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</w:p>
    <w:p w:rsidR="00891696" w:rsidRPr="001C7B52" w:rsidRDefault="00891696" w:rsidP="001C7B52">
      <w:pPr>
        <w:pStyle w:val="Heading2"/>
        <w:rPr>
          <w:rFonts w:ascii="Arial" w:hAnsi="Arial" w:cs="Arial"/>
          <w:b/>
          <w:color w:val="auto"/>
          <w:sz w:val="28"/>
          <w:szCs w:val="28"/>
        </w:rPr>
      </w:pPr>
      <w:r w:rsidRPr="001C7B52">
        <w:rPr>
          <w:rFonts w:ascii="Arial" w:hAnsi="Arial" w:cs="Arial"/>
          <w:b/>
          <w:color w:val="auto"/>
          <w:sz w:val="28"/>
          <w:szCs w:val="28"/>
        </w:rPr>
        <w:t>Final (summative) Competency Assessment:</w:t>
      </w:r>
    </w:p>
    <w:p w:rsidR="00891696" w:rsidRDefault="00891696" w:rsidP="005A6D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Purpose</w:t>
      </w:r>
      <w:r w:rsidRPr="001C7B52">
        <w:rPr>
          <w:rFonts w:ascii="Arial" w:hAnsi="Arial" w:cs="Arial"/>
          <w:sz w:val="24"/>
          <w:szCs w:val="24"/>
        </w:rPr>
        <w:t>: to assess the student’s competency. The summative assessment is graded as pass/fail, but please note that this pass/fail grade only relates to the Competency Assessment, and is independent of the grade the student receives for academic work. In order to pass</w:t>
      </w:r>
      <w:r w:rsidR="005A6DB2">
        <w:rPr>
          <w:rFonts w:ascii="Arial" w:hAnsi="Arial" w:cs="Arial"/>
          <w:sz w:val="24"/>
          <w:szCs w:val="24"/>
        </w:rPr>
        <w:t xml:space="preserve"> </w:t>
      </w:r>
      <w:r w:rsidR="005A6DB2" w:rsidRPr="001C7B52">
        <w:rPr>
          <w:rFonts w:ascii="Arial" w:hAnsi="Arial" w:cs="Arial"/>
          <w:sz w:val="24"/>
          <w:szCs w:val="24"/>
        </w:rPr>
        <w:t>the summative assessment performed by the Preceptor</w:t>
      </w:r>
      <w:r w:rsidRPr="001C7B52">
        <w:rPr>
          <w:rFonts w:ascii="Arial" w:hAnsi="Arial" w:cs="Arial"/>
          <w:sz w:val="24"/>
          <w:szCs w:val="24"/>
        </w:rPr>
        <w:t>, students must achieve a minimum level 3 rating in all of</w:t>
      </w:r>
      <w:r w:rsidR="005A6DB2">
        <w:rPr>
          <w:rFonts w:ascii="Arial" w:hAnsi="Arial" w:cs="Arial"/>
          <w:sz w:val="24"/>
          <w:szCs w:val="24"/>
        </w:rPr>
        <w:t xml:space="preserve"> the behaviours* listed below.</w:t>
      </w:r>
    </w:p>
    <w:p w:rsidR="005A6DB2" w:rsidRPr="001C7B52" w:rsidRDefault="005A6DB2" w:rsidP="005A6D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A6DB2">
        <w:rPr>
          <w:rFonts w:ascii="Arial" w:hAnsi="Arial" w:cs="Arial"/>
          <w:b/>
          <w:sz w:val="24"/>
          <w:szCs w:val="24"/>
        </w:rPr>
        <w:t>Date</w:t>
      </w:r>
      <w:r w:rsidRPr="001C7B5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must</w:t>
      </w:r>
      <w:r w:rsidRPr="001C7B52">
        <w:rPr>
          <w:rFonts w:ascii="Arial" w:hAnsi="Arial" w:cs="Arial"/>
          <w:sz w:val="24"/>
          <w:szCs w:val="24"/>
        </w:rPr>
        <w:t xml:space="preserve"> be completed by the end of week twelve of placement (24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Pr="001C7B52">
        <w:rPr>
          <w:rFonts w:ascii="Arial" w:hAnsi="Arial" w:cs="Arial"/>
          <w:sz w:val="24"/>
          <w:szCs w:val="24"/>
        </w:rPr>
        <w:t xml:space="preserve"> November). </w:t>
      </w:r>
    </w:p>
    <w:p w:rsidR="005A6DB2" w:rsidRPr="001C7B52" w:rsidRDefault="005A6DB2" w:rsidP="00891696">
      <w:pPr>
        <w:spacing w:line="360" w:lineRule="auto"/>
        <w:rPr>
          <w:rFonts w:ascii="Arial" w:hAnsi="Arial" w:cs="Arial"/>
          <w:sz w:val="24"/>
          <w:szCs w:val="24"/>
        </w:rPr>
      </w:pPr>
    </w:p>
    <w:p w:rsidR="00891696" w:rsidRPr="001C7B52" w:rsidRDefault="00891696" w:rsidP="0089169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91696" w:rsidRPr="001C7B52" w:rsidRDefault="00891696" w:rsidP="00891696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96E14" w:rsidRPr="001C7B52" w:rsidRDefault="00F96E14" w:rsidP="00F96E14">
      <w:pPr>
        <w:spacing w:line="360" w:lineRule="auto"/>
        <w:rPr>
          <w:rFonts w:ascii="Arial" w:hAnsi="Arial" w:cs="Arial"/>
          <w:sz w:val="24"/>
          <w:szCs w:val="24"/>
        </w:rPr>
      </w:pPr>
      <w:r w:rsidRPr="001C7B52">
        <w:rPr>
          <w:rFonts w:ascii="Arial" w:hAnsi="Arial" w:cs="Arial"/>
          <w:sz w:val="24"/>
          <w:szCs w:val="24"/>
        </w:rPr>
        <w:t>*All of the behaviours in domains 1, 2 and 6 of the PSI’s Core Competency Framework will not be assessed – there are 51 behaviours in total which have been chosen, as it is envisaged that they can be demonstrated in all practice settings and that they are appropriate for a 4</w:t>
      </w:r>
      <w:r w:rsidRPr="001C7B52">
        <w:rPr>
          <w:rFonts w:ascii="Arial" w:hAnsi="Arial" w:cs="Arial"/>
          <w:sz w:val="24"/>
          <w:szCs w:val="24"/>
          <w:vertAlign w:val="superscript"/>
        </w:rPr>
        <w:t>th</w:t>
      </w:r>
      <w:r w:rsidRPr="001C7B52">
        <w:rPr>
          <w:rFonts w:ascii="Arial" w:hAnsi="Arial" w:cs="Arial"/>
          <w:sz w:val="24"/>
          <w:szCs w:val="24"/>
        </w:rPr>
        <w:t xml:space="preserve"> year placement.</w:t>
      </w: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66F3D" w:rsidRDefault="00C66F3D" w:rsidP="00C46644">
      <w:pPr>
        <w:spacing w:line="360" w:lineRule="auto"/>
        <w:rPr>
          <w:rFonts w:ascii="Arial" w:hAnsi="Arial" w:cs="Arial"/>
          <w:sz w:val="24"/>
          <w:szCs w:val="24"/>
        </w:rPr>
      </w:pPr>
    </w:p>
    <w:p w:rsidR="00C46644" w:rsidRDefault="00C46644">
      <w:r>
        <w:br w:type="page"/>
      </w:r>
    </w:p>
    <w:p w:rsidR="00C46644" w:rsidRDefault="00C46644" w:rsidP="00C46644">
      <w:pPr>
        <w:pStyle w:val="Heading1"/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3741C7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>Domain 1: Professional Practice</w:t>
      </w:r>
    </w:p>
    <w:p w:rsidR="003741C7" w:rsidRPr="003741C7" w:rsidRDefault="003741C7" w:rsidP="003741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RP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C466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1C7B52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“patient-centred” care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741C7">
              <w:rPr>
                <w:rFonts w:ascii="Arial" w:hAnsi="Arial" w:cs="Arial"/>
                <w:sz w:val="24"/>
                <w:szCs w:val="24"/>
              </w:rPr>
              <w:t>Demonstrates a “patient-centred” approach to practice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741C7">
              <w:rPr>
                <w:rFonts w:ascii="Arial" w:hAnsi="Arial" w:cs="Arial"/>
                <w:sz w:val="24"/>
                <w:szCs w:val="24"/>
              </w:rPr>
              <w:t>Ensures patient safety and quality are at the centre of the pharmacy practice</w:t>
            </w: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46644" w:rsidRPr="003741C7" w:rsidRDefault="00C46644" w:rsidP="00C466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RP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374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1C7B52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professionally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awareness of the position of trust in which the profession is held and practi</w:t>
            </w:r>
            <w:r w:rsidR="009C6E2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es in a manner that upholds th</w:t>
            </w:r>
            <w:r w:rsidR="009C6E23">
              <w:rPr>
                <w:rFonts w:ascii="Arial" w:hAnsi="Arial" w:cs="Arial"/>
                <w:sz w:val="24"/>
                <w:szCs w:val="24"/>
              </w:rPr>
              <w:t>at</w:t>
            </w:r>
            <w:r>
              <w:rPr>
                <w:rFonts w:ascii="Arial" w:hAnsi="Arial" w:cs="Arial"/>
                <w:sz w:val="24"/>
                <w:szCs w:val="24"/>
              </w:rPr>
              <w:t xml:space="preserve"> trust</w:t>
            </w:r>
          </w:p>
          <w:p w:rsidR="001326E5" w:rsidRPr="003741C7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Treats others with sensitivity, empathy, respect, and dignity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41C7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Takes responsibility for their own actions and for patient care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Recognises their scope of practice and the extent of their current competency and expertise, and works accordingly</w:t>
            </w: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1C7" w:rsidRPr="003741C7" w:rsidTr="001326E5">
        <w:tc>
          <w:tcPr>
            <w:tcW w:w="750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3923" w:type="dxa"/>
            <w:shd w:val="clear" w:color="auto" w:fill="auto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Maintains a consistently high standard of work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  <w:shd w:val="clear" w:color="auto" w:fill="auto"/>
          </w:tcPr>
          <w:p w:rsidR="003741C7" w:rsidRP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41C7" w:rsidRDefault="003741C7" w:rsidP="00C46644"/>
    <w:p w:rsidR="001326E5" w:rsidRDefault="001326E5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741C7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41C7" w:rsidRPr="003741C7" w:rsidRDefault="003741C7" w:rsidP="003741C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41C7">
              <w:rPr>
                <w:rFonts w:ascii="Arial" w:hAnsi="Arial" w:cs="Arial"/>
                <w:sz w:val="28"/>
                <w:szCs w:val="28"/>
              </w:rPr>
              <w:lastRenderedPageBreak/>
              <w:t>Competency: Practi</w:t>
            </w:r>
            <w:r w:rsidR="009C6E23">
              <w:rPr>
                <w:rFonts w:ascii="Arial" w:hAnsi="Arial" w:cs="Arial"/>
                <w:sz w:val="28"/>
                <w:szCs w:val="28"/>
              </w:rPr>
              <w:t>s</w:t>
            </w:r>
            <w:r w:rsidRPr="003741C7">
              <w:rPr>
                <w:rFonts w:ascii="Arial" w:hAnsi="Arial" w:cs="Arial"/>
                <w:sz w:val="28"/>
                <w:szCs w:val="28"/>
              </w:rPr>
              <w:t>es legally</w:t>
            </w:r>
          </w:p>
        </w:tc>
      </w:tr>
      <w:tr w:rsidR="003741C7" w:rsidTr="001326E5">
        <w:tc>
          <w:tcPr>
            <w:tcW w:w="750" w:type="dxa"/>
          </w:tcPr>
          <w:p w:rsidR="003741C7" w:rsidRDefault="003741C7" w:rsidP="00C46644"/>
        </w:tc>
        <w:tc>
          <w:tcPr>
            <w:tcW w:w="3923" w:type="dxa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41C7" w:rsidRPr="003741C7" w:rsidRDefault="003741C7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C7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41C7" w:rsidTr="001326E5">
        <w:tc>
          <w:tcPr>
            <w:tcW w:w="750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3923" w:type="dxa"/>
          </w:tcPr>
          <w:p w:rsidR="003741C7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Understands and applies the requirements of both Irish and European pharmacy and medicines law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41C7" w:rsidRDefault="003741C7" w:rsidP="00C46644"/>
        </w:tc>
      </w:tr>
      <w:tr w:rsidR="003741C7" w:rsidTr="001326E5">
        <w:tc>
          <w:tcPr>
            <w:tcW w:w="750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3923" w:type="dxa"/>
          </w:tcPr>
          <w:p w:rsidR="003741C7" w:rsidRPr="00331063" w:rsidRDefault="003741C7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an awareness of other legislation relevant to their practice set</w:t>
            </w:r>
            <w:r w:rsidR="00331063" w:rsidRPr="00331063">
              <w:rPr>
                <w:rFonts w:ascii="Arial" w:hAnsi="Arial" w:cs="Arial"/>
                <w:sz w:val="24"/>
                <w:szCs w:val="24"/>
              </w:rPr>
              <w:t>ting, including, as appropriate,</w:t>
            </w:r>
            <w:r w:rsidRPr="003310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1063" w:rsidRPr="00331063">
              <w:rPr>
                <w:rFonts w:ascii="Arial" w:hAnsi="Arial" w:cs="Arial"/>
                <w:sz w:val="24"/>
                <w:szCs w:val="24"/>
              </w:rPr>
              <w:t xml:space="preserve">data protection law, health and safety law, employment law, consumer law, equality law, and intellectual property rights. </w:t>
            </w:r>
          </w:p>
        </w:tc>
        <w:tc>
          <w:tcPr>
            <w:tcW w:w="4343" w:type="dxa"/>
          </w:tcPr>
          <w:p w:rsidR="003741C7" w:rsidRDefault="003741C7" w:rsidP="00C46644"/>
        </w:tc>
      </w:tr>
      <w:tr w:rsidR="003741C7" w:rsidTr="001326E5">
        <w:tc>
          <w:tcPr>
            <w:tcW w:w="750" w:type="dxa"/>
          </w:tcPr>
          <w:p w:rsidR="003741C7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3923" w:type="dxa"/>
          </w:tcPr>
          <w:p w:rsidR="003741C7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an understanding of the requirements of the regulatory framework to authorise a medicinal product, including the quality, safety, and efficacy requirements</w:t>
            </w:r>
          </w:p>
          <w:p w:rsidR="00E17F01" w:rsidRPr="00331063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41C7" w:rsidRDefault="003741C7" w:rsidP="00C46644"/>
        </w:tc>
      </w:tr>
    </w:tbl>
    <w:p w:rsidR="003741C7" w:rsidRDefault="003741C7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"/>
        <w:gridCol w:w="3923"/>
        <w:gridCol w:w="4343"/>
      </w:tblGrid>
      <w:tr w:rsidR="003310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31063" w:rsidRPr="00331063" w:rsidRDefault="00331063" w:rsidP="00331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063">
              <w:rPr>
                <w:rFonts w:ascii="Arial" w:hAnsi="Arial" w:cs="Arial"/>
                <w:sz w:val="28"/>
                <w:szCs w:val="28"/>
              </w:rPr>
              <w:t>Competency: Practi</w:t>
            </w:r>
            <w:r w:rsidR="009C6E23">
              <w:rPr>
                <w:rFonts w:ascii="Arial" w:hAnsi="Arial" w:cs="Arial"/>
                <w:sz w:val="28"/>
                <w:szCs w:val="28"/>
              </w:rPr>
              <w:t>s</w:t>
            </w:r>
            <w:r w:rsidRPr="00331063">
              <w:rPr>
                <w:rFonts w:ascii="Arial" w:hAnsi="Arial" w:cs="Arial"/>
                <w:sz w:val="28"/>
                <w:szCs w:val="28"/>
              </w:rPr>
              <w:t>es ethically</w:t>
            </w:r>
          </w:p>
        </w:tc>
      </w:tr>
      <w:tr w:rsidR="00331063" w:rsidTr="001326E5">
        <w:tc>
          <w:tcPr>
            <w:tcW w:w="750" w:type="dxa"/>
          </w:tcPr>
          <w:p w:rsidR="00331063" w:rsidRDefault="00331063" w:rsidP="00C46644"/>
        </w:tc>
        <w:tc>
          <w:tcPr>
            <w:tcW w:w="392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3923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 xml:space="preserve">Understands their obligations under the principles of the statutory Code of Conduct for </w:t>
            </w:r>
            <w:r w:rsidR="009C6E23">
              <w:rPr>
                <w:rFonts w:ascii="Arial" w:hAnsi="Arial" w:cs="Arial"/>
                <w:sz w:val="24"/>
                <w:szCs w:val="24"/>
              </w:rPr>
              <w:t>P</w:t>
            </w:r>
            <w:r w:rsidRPr="00331063">
              <w:rPr>
                <w:rFonts w:ascii="Arial" w:hAnsi="Arial" w:cs="Arial"/>
                <w:sz w:val="24"/>
                <w:szCs w:val="24"/>
              </w:rPr>
              <w:t>harmacists and acts accordingly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3923" w:type="dxa"/>
          </w:tcPr>
          <w:p w:rsidR="00E17F01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 xml:space="preserve">Makes and justifies decisions in a manner that reflects the statutory Code of Conduct for </w:t>
            </w:r>
            <w:r w:rsidR="009C6E23">
              <w:rPr>
                <w:rFonts w:ascii="Arial" w:hAnsi="Arial" w:cs="Arial"/>
                <w:sz w:val="24"/>
                <w:szCs w:val="24"/>
              </w:rPr>
              <w:t>P</w:t>
            </w:r>
            <w:r w:rsidRPr="00331063">
              <w:rPr>
                <w:rFonts w:ascii="Arial" w:hAnsi="Arial" w:cs="Arial"/>
                <w:sz w:val="24"/>
                <w:szCs w:val="24"/>
              </w:rPr>
              <w:t>harmacists, and pharmacy and medicine law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750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1.4.3</w:t>
            </w:r>
          </w:p>
        </w:tc>
        <w:tc>
          <w:tcPr>
            <w:tcW w:w="3923" w:type="dxa"/>
          </w:tcPr>
          <w:p w:rsidR="00E17F01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Recognises ethical dilemmas in practice scenarios and reasons through dilemmas in a structured manner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</w:tbl>
    <w:p w:rsidR="00331063" w:rsidRDefault="00331063" w:rsidP="00C46644"/>
    <w:p w:rsidR="001326E5" w:rsidRDefault="001326E5" w:rsidP="00C46644"/>
    <w:p w:rsidR="00EF2BFB" w:rsidRDefault="00EF2BFB">
      <w:r>
        <w:br w:type="page"/>
      </w:r>
    </w:p>
    <w:p w:rsidR="001326E5" w:rsidRDefault="001326E5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310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31063" w:rsidRPr="00331063" w:rsidRDefault="00331063" w:rsidP="003310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31063">
              <w:rPr>
                <w:rFonts w:ascii="Arial" w:hAnsi="Arial" w:cs="Arial"/>
                <w:sz w:val="28"/>
                <w:szCs w:val="28"/>
              </w:rPr>
              <w:t>Competency: Engages in appropriate continuing professional development (CPD)</w:t>
            </w:r>
          </w:p>
        </w:tc>
      </w:tr>
      <w:tr w:rsidR="00331063" w:rsidTr="001326E5">
        <w:tc>
          <w:tcPr>
            <w:tcW w:w="846" w:type="dxa"/>
          </w:tcPr>
          <w:p w:rsidR="00331063" w:rsidRDefault="00331063" w:rsidP="00C46644"/>
        </w:tc>
        <w:tc>
          <w:tcPr>
            <w:tcW w:w="3827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31063" w:rsidRPr="00331063" w:rsidRDefault="00331063" w:rsidP="00C466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0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1.5.1</w:t>
            </w:r>
          </w:p>
        </w:tc>
        <w:tc>
          <w:tcPr>
            <w:tcW w:w="3827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Understands and accepts the importance of life-long learning for pharmacists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1.5.2</w:t>
            </w:r>
          </w:p>
        </w:tc>
        <w:tc>
          <w:tcPr>
            <w:tcW w:w="3827" w:type="dxa"/>
          </w:tcPr>
          <w:p w:rsidR="001326E5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Demonstrates the ability to critically reflect on their own practice and skills, to identify learning and development needs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1.5.3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Takes personal responsibility for engaging in CPD and achieving learning and professional development goals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1.5.4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Identifies and undertakes appropriate learning activities and programmes that meet identified leaning needs</w:t>
            </w:r>
          </w:p>
          <w:p w:rsidR="001326E5" w:rsidRPr="00331063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  <w:tr w:rsidR="00331063" w:rsidTr="001326E5">
        <w:tc>
          <w:tcPr>
            <w:tcW w:w="846" w:type="dxa"/>
          </w:tcPr>
          <w:p w:rsidR="00331063" w:rsidRP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1.5.5</w:t>
            </w:r>
          </w:p>
        </w:tc>
        <w:tc>
          <w:tcPr>
            <w:tcW w:w="3827" w:type="dxa"/>
          </w:tcPr>
          <w:p w:rsidR="00331063" w:rsidRDefault="00331063" w:rsidP="00C46644">
            <w:pPr>
              <w:rPr>
                <w:rFonts w:ascii="Arial" w:hAnsi="Arial" w:cs="Arial"/>
                <w:sz w:val="24"/>
                <w:szCs w:val="24"/>
              </w:rPr>
            </w:pPr>
            <w:r w:rsidRPr="00331063">
              <w:rPr>
                <w:rFonts w:ascii="Arial" w:hAnsi="Arial" w:cs="Arial"/>
                <w:sz w:val="24"/>
                <w:szCs w:val="24"/>
              </w:rPr>
              <w:t>Keeps knowledge and skills up to date</w:t>
            </w:r>
          </w:p>
          <w:p w:rsidR="00E17F01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C46644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31063" w:rsidRDefault="00E17F01" w:rsidP="00C466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31063" w:rsidRDefault="00331063" w:rsidP="00C46644"/>
        </w:tc>
      </w:tr>
    </w:tbl>
    <w:p w:rsidR="009974B3" w:rsidRDefault="009974B3" w:rsidP="00C466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6E5" w:rsidTr="001326E5">
        <w:tc>
          <w:tcPr>
            <w:tcW w:w="9016" w:type="dxa"/>
            <w:shd w:val="clear" w:color="auto" w:fill="C5E0B3" w:themeFill="accent6" w:themeFillTint="66"/>
          </w:tcPr>
          <w:p w:rsidR="001326E5" w:rsidRPr="001326E5" w:rsidRDefault="001326E5" w:rsidP="001326E5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1326E5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1326E5">
        <w:tc>
          <w:tcPr>
            <w:tcW w:w="9016" w:type="dxa"/>
          </w:tcPr>
          <w:p w:rsidR="001326E5" w:rsidRDefault="001326E5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E17F01" w:rsidRDefault="00E17F01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br w:type="page"/>
      </w:r>
    </w:p>
    <w:p w:rsidR="009974B3" w:rsidRPr="00EF2BFB" w:rsidRDefault="009974B3" w:rsidP="009974B3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9974B3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>Domain 2: Personal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9974B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4B3">
              <w:rPr>
                <w:rFonts w:ascii="Arial" w:hAnsi="Arial" w:cs="Arial"/>
                <w:sz w:val="28"/>
                <w:szCs w:val="28"/>
              </w:rPr>
              <w:t>Competency: Leadership skills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Inspires confidence and applies assertiveness skills as appropriate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2.1.2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Leads by example by acting to ensure patient safety and quality within the pharmacy environment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2.1.3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Builds credibility and portrays the profession in a positive light by being professional and well informed</w:t>
            </w:r>
          </w:p>
          <w:p w:rsidR="001326E5" w:rsidRPr="009974B3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9974B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9974B3" w:rsidRPr="009974B3" w:rsidRDefault="009974B3" w:rsidP="009974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74B3">
              <w:rPr>
                <w:rFonts w:ascii="Arial" w:hAnsi="Arial" w:cs="Arial"/>
                <w:sz w:val="28"/>
                <w:szCs w:val="28"/>
              </w:rPr>
              <w:t>Competency: Decision-making skills</w:t>
            </w:r>
          </w:p>
        </w:tc>
      </w:tr>
      <w:tr w:rsidR="009974B3" w:rsidTr="001326E5">
        <w:tc>
          <w:tcPr>
            <w:tcW w:w="846" w:type="dxa"/>
          </w:tcPr>
          <w:p w:rsidR="009974B3" w:rsidRDefault="009974B3" w:rsidP="009974B3"/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9974B3" w:rsidRPr="009974B3" w:rsidRDefault="009974B3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74B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2.2.2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Makes decisions and solves problems in a timely manner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Gathers information from a number of reliable sources and people to enable them to make well-founded decisions</w:t>
            </w: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2.2.4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Communicates decisions comprehensively including the rationale behind decisions</w:t>
            </w: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2.2.5</w:t>
            </w: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Ensures that relevant professional, ethical, and patient safety factors are fully considered in decisions into which they have an input</w:t>
            </w: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2.2.6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Distinguishes between important and the unimportant issues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3827" w:type="dxa"/>
          </w:tcPr>
          <w:p w:rsid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Demonstrates an attention to detail and accuracy in decision-making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9974B3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9974B3" w:rsidRDefault="009974B3" w:rsidP="009974B3"/>
        </w:tc>
      </w:tr>
      <w:tr w:rsidR="009974B3" w:rsidTr="001326E5">
        <w:tc>
          <w:tcPr>
            <w:tcW w:w="846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2.2.8</w:t>
            </w:r>
          </w:p>
        </w:tc>
        <w:tc>
          <w:tcPr>
            <w:tcW w:w="3827" w:type="dxa"/>
          </w:tcPr>
          <w:p w:rsidR="009974B3" w:rsidRPr="009974B3" w:rsidRDefault="009974B3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9974B3">
              <w:rPr>
                <w:rFonts w:ascii="Arial" w:hAnsi="Arial" w:cs="Arial"/>
                <w:sz w:val="24"/>
                <w:szCs w:val="24"/>
              </w:rPr>
              <w:t>Recognises when it is appropriate to seek advice from experienced colleagues, refer decisions to a higher level of authority, or to include other colleagues in the decision</w:t>
            </w:r>
          </w:p>
        </w:tc>
        <w:tc>
          <w:tcPr>
            <w:tcW w:w="4343" w:type="dxa"/>
          </w:tcPr>
          <w:p w:rsidR="009974B3" w:rsidRDefault="009974B3" w:rsidP="009974B3"/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Team</w:t>
            </w:r>
            <w:r w:rsidR="00E17F01">
              <w:rPr>
                <w:rFonts w:ascii="Arial" w:hAnsi="Arial" w:cs="Arial"/>
                <w:sz w:val="28"/>
                <w:szCs w:val="28"/>
              </w:rPr>
              <w:t>-</w:t>
            </w:r>
            <w:r w:rsidRPr="0037201B">
              <w:rPr>
                <w:rFonts w:ascii="Arial" w:hAnsi="Arial" w:cs="Arial"/>
                <w:sz w:val="28"/>
                <w:szCs w:val="28"/>
              </w:rPr>
              <w:t>working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9974B3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2.3.1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 xml:space="preserve">Recognises the value and structure of the pharmacy team and of a </w:t>
            </w:r>
            <w:proofErr w:type="spellStart"/>
            <w:r w:rsidRPr="0037201B">
              <w:rPr>
                <w:rFonts w:ascii="Arial" w:hAnsi="Arial" w:cs="Arial"/>
                <w:sz w:val="24"/>
                <w:szCs w:val="24"/>
              </w:rPr>
              <w:t>multiprofessional</w:t>
            </w:r>
            <w:proofErr w:type="spellEnd"/>
            <w:r w:rsidRPr="0037201B">
              <w:rPr>
                <w:rFonts w:ascii="Arial" w:hAnsi="Arial" w:cs="Arial"/>
                <w:sz w:val="24"/>
                <w:szCs w:val="24"/>
              </w:rPr>
              <w:t xml:space="preserve"> team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2.3.5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 broad understanding of the services delivered by other healthcare professionals and disciplines</w:t>
            </w:r>
          </w:p>
          <w:p w:rsidR="001326E5" w:rsidRPr="0037201B" w:rsidRDefault="001326E5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4B3" w:rsidRDefault="009974B3" w:rsidP="009974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Communication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9974B3"/>
        </w:tc>
        <w:tc>
          <w:tcPr>
            <w:tcW w:w="3827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9974B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2.4.1</w:t>
            </w:r>
          </w:p>
        </w:tc>
        <w:tc>
          <w:tcPr>
            <w:tcW w:w="3827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Uses effective verbal, non-verbal, listening and written communication skills to communicate clearly, precisely and appropriately</w:t>
            </w: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2.4.3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Uses appropriate language and checks understanding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2.4.4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respect, cultural awareness, sensitivity and empathy when communicating</w:t>
            </w:r>
          </w:p>
          <w:p w:rsidR="00E17F01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37201B" w:rsidTr="001326E5">
        <w:tc>
          <w:tcPr>
            <w:tcW w:w="846" w:type="dxa"/>
          </w:tcPr>
          <w:p w:rsidR="0037201B" w:rsidRP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2.4.5</w:t>
            </w:r>
          </w:p>
        </w:tc>
        <w:tc>
          <w:tcPr>
            <w:tcW w:w="3827" w:type="dxa"/>
          </w:tcPr>
          <w:p w:rsidR="0037201B" w:rsidRDefault="0037201B" w:rsidP="009974B3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influencing and negotiation skills to resolve conflicts and problems</w:t>
            </w:r>
          </w:p>
          <w:p w:rsidR="00E17F01" w:rsidRPr="0037201B" w:rsidRDefault="00E17F01" w:rsidP="009974B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9974B3"/>
        </w:tc>
      </w:tr>
      <w:tr w:rsidR="001326E5" w:rsidTr="002A5A3A">
        <w:tc>
          <w:tcPr>
            <w:tcW w:w="9016" w:type="dxa"/>
            <w:gridSpan w:val="3"/>
            <w:shd w:val="clear" w:color="auto" w:fill="C5E0B3" w:themeFill="accent6" w:themeFillTint="66"/>
          </w:tcPr>
          <w:p w:rsidR="001326E5" w:rsidRPr="002A5A3A" w:rsidRDefault="001326E5" w:rsidP="002A5A3A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A5A3A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Additional Notes</w:t>
            </w: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  <w:gridSpan w:val="3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1326E5" w:rsidRDefault="001326E5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:rsidR="001326E5" w:rsidRDefault="001326E5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:rsidR="001326E5" w:rsidRDefault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br w:type="page"/>
      </w:r>
      <w:bookmarkStart w:id="0" w:name="_GoBack"/>
      <w:bookmarkEnd w:id="0"/>
    </w:p>
    <w:p w:rsidR="0037201B" w:rsidRDefault="0037201B" w:rsidP="001326E5">
      <w:pPr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37201B">
        <w:rPr>
          <w:rFonts w:ascii="Arial" w:hAnsi="Arial" w:cs="Arial"/>
          <w:b/>
          <w:color w:val="385623" w:themeColor="accent6" w:themeShade="80"/>
          <w:sz w:val="36"/>
          <w:szCs w:val="36"/>
        </w:rPr>
        <w:lastRenderedPageBreak/>
        <w:t>Domain 6: Organisation and Management Skills</w:t>
      </w:r>
    </w:p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t>Competency: Self-management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37201B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6.1.1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organisation and efficiency in carrying out their work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6.1.2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Ensures their work time and processes are appropriately planned and managed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6.1.3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the ability to prioritise work appropriately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6.1.4</w:t>
            </w:r>
          </w:p>
        </w:tc>
        <w:tc>
          <w:tcPr>
            <w:tcW w:w="3827" w:type="dxa"/>
          </w:tcPr>
          <w:p w:rsidR="001326E5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Takes responsibility as appropriate in the workplace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6.1.5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awareness of the responsibility of their position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6.1.6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Ensures punctuality and reliability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6.1.7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Reflects on and demonstrates learning from critical incidents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</w:tbl>
    <w:p w:rsidR="0037201B" w:rsidRDefault="0037201B" w:rsidP="0037201B"/>
    <w:p w:rsidR="004174D1" w:rsidRDefault="004174D1" w:rsidP="0037201B"/>
    <w:p w:rsidR="004174D1" w:rsidRDefault="004174D1" w:rsidP="0037201B"/>
    <w:p w:rsidR="004174D1" w:rsidRDefault="004174D1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37201B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37201B" w:rsidRPr="0037201B" w:rsidRDefault="0037201B" w:rsidP="0037201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7201B">
              <w:rPr>
                <w:rFonts w:ascii="Arial" w:hAnsi="Arial" w:cs="Arial"/>
                <w:sz w:val="28"/>
                <w:szCs w:val="28"/>
              </w:rPr>
              <w:lastRenderedPageBreak/>
              <w:t>Competency: Workplace management skills</w:t>
            </w:r>
          </w:p>
        </w:tc>
      </w:tr>
      <w:tr w:rsidR="0037201B" w:rsidTr="001326E5">
        <w:tc>
          <w:tcPr>
            <w:tcW w:w="846" w:type="dxa"/>
          </w:tcPr>
          <w:p w:rsidR="0037201B" w:rsidRDefault="0037201B" w:rsidP="0037201B"/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37201B" w:rsidRPr="0037201B" w:rsidRDefault="0037201B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201B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6.2.1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Demonstrates an understanding of the principles of organisation and management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6.2.2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Works effectively with the documented procedures and policies within the workplace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6.2.3</w:t>
            </w:r>
          </w:p>
        </w:tc>
        <w:tc>
          <w:tcPr>
            <w:tcW w:w="3827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Understands their role in the organisational structure and works effectively within the management structure of the organisation</w:t>
            </w:r>
          </w:p>
        </w:tc>
        <w:tc>
          <w:tcPr>
            <w:tcW w:w="4343" w:type="dxa"/>
          </w:tcPr>
          <w:p w:rsidR="0037201B" w:rsidRDefault="0037201B" w:rsidP="0037201B"/>
        </w:tc>
      </w:tr>
      <w:tr w:rsidR="0037201B" w:rsidTr="001326E5">
        <w:tc>
          <w:tcPr>
            <w:tcW w:w="846" w:type="dxa"/>
          </w:tcPr>
          <w:p w:rsidR="0037201B" w:rsidRP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6.2.5</w:t>
            </w:r>
          </w:p>
        </w:tc>
        <w:tc>
          <w:tcPr>
            <w:tcW w:w="3827" w:type="dxa"/>
          </w:tcPr>
          <w:p w:rsidR="0037201B" w:rsidRDefault="0037201B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37201B">
              <w:rPr>
                <w:rFonts w:ascii="Arial" w:hAnsi="Arial" w:cs="Arial"/>
                <w:sz w:val="24"/>
                <w:szCs w:val="24"/>
              </w:rPr>
              <w:t>Addresses and manages day to day management issues as required in their position of responsibility</w:t>
            </w:r>
          </w:p>
          <w:p w:rsidR="001326E5" w:rsidRPr="0037201B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37201B" w:rsidRDefault="0037201B" w:rsidP="0037201B"/>
        </w:tc>
      </w:tr>
    </w:tbl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B67B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B67B63" w:rsidRPr="00B67B63" w:rsidRDefault="00B67B63" w:rsidP="00B6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B63">
              <w:rPr>
                <w:rFonts w:ascii="Arial" w:hAnsi="Arial" w:cs="Arial"/>
                <w:sz w:val="28"/>
                <w:szCs w:val="28"/>
              </w:rPr>
              <w:t>Competency: Human resources management skills</w:t>
            </w:r>
          </w:p>
        </w:tc>
      </w:tr>
      <w:tr w:rsidR="00B67B63" w:rsidTr="001326E5">
        <w:tc>
          <w:tcPr>
            <w:tcW w:w="846" w:type="dxa"/>
          </w:tcPr>
          <w:p w:rsidR="00B67B63" w:rsidRDefault="00B67B63" w:rsidP="0037201B"/>
        </w:tc>
        <w:tc>
          <w:tcPr>
            <w:tcW w:w="3827" w:type="dxa"/>
          </w:tcPr>
          <w:p w:rsidR="00B67B63" w:rsidRPr="00B67B63" w:rsidRDefault="00B67B63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B63">
              <w:rPr>
                <w:rFonts w:ascii="Arial" w:hAnsi="Arial" w:cs="Arial"/>
                <w:b/>
                <w:sz w:val="24"/>
                <w:szCs w:val="24"/>
              </w:rPr>
              <w:t>Behaviours</w:t>
            </w:r>
          </w:p>
        </w:tc>
        <w:tc>
          <w:tcPr>
            <w:tcW w:w="4343" w:type="dxa"/>
          </w:tcPr>
          <w:p w:rsidR="00B67B63" w:rsidRPr="00B67B63" w:rsidRDefault="00B67B63" w:rsidP="0037201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7B63"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6.3.3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Engages with systems and procedures for performance management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6.3.4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Supports and contributes to staff training and continuing professional development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</w:tbl>
    <w:p w:rsidR="0037201B" w:rsidRDefault="0037201B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343"/>
      </w:tblGrid>
      <w:tr w:rsidR="00B67B63" w:rsidTr="00C66F3D">
        <w:tc>
          <w:tcPr>
            <w:tcW w:w="9016" w:type="dxa"/>
            <w:gridSpan w:val="3"/>
            <w:shd w:val="clear" w:color="auto" w:fill="C5E0B3" w:themeFill="accent6" w:themeFillTint="66"/>
          </w:tcPr>
          <w:p w:rsidR="00B67B63" w:rsidRPr="00B67B63" w:rsidRDefault="00B67B63" w:rsidP="00B6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B63">
              <w:rPr>
                <w:rFonts w:ascii="Arial" w:hAnsi="Arial" w:cs="Arial"/>
                <w:sz w:val="28"/>
                <w:szCs w:val="28"/>
              </w:rPr>
              <w:t>Competency: Quality assurance</w:t>
            </w:r>
          </w:p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6.5.1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Recognises quality as a core principle of medicines management and healthcare provision</w:t>
            </w: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6.5.2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 xml:space="preserve">Understands the role of policies and procedures in the organisational structure and in </w:t>
            </w:r>
            <w:r w:rsidRPr="00B67B63">
              <w:rPr>
                <w:rFonts w:ascii="Arial" w:hAnsi="Arial" w:cs="Arial"/>
                <w:sz w:val="24"/>
                <w:szCs w:val="24"/>
              </w:rPr>
              <w:lastRenderedPageBreak/>
              <w:t>the provision of healthcare</w:t>
            </w: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lastRenderedPageBreak/>
              <w:t>6.5.3</w:t>
            </w:r>
          </w:p>
        </w:tc>
        <w:tc>
          <w:tcPr>
            <w:tcW w:w="3827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Contributes to the development, implementation, maintenance and training of staff on standard operating procedures, as appropriate to their level of responsibility</w:t>
            </w:r>
          </w:p>
        </w:tc>
        <w:tc>
          <w:tcPr>
            <w:tcW w:w="4343" w:type="dxa"/>
          </w:tcPr>
          <w:p w:rsidR="00B67B63" w:rsidRDefault="00B67B63" w:rsidP="0037201B"/>
        </w:tc>
      </w:tr>
      <w:tr w:rsidR="00B67B63" w:rsidTr="001326E5">
        <w:tc>
          <w:tcPr>
            <w:tcW w:w="846" w:type="dxa"/>
          </w:tcPr>
          <w:p w:rsidR="00B67B63" w:rsidRP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6.5.4</w:t>
            </w:r>
          </w:p>
        </w:tc>
        <w:tc>
          <w:tcPr>
            <w:tcW w:w="3827" w:type="dxa"/>
          </w:tcPr>
          <w:p w:rsidR="00B67B63" w:rsidRDefault="00B67B63" w:rsidP="0037201B">
            <w:pPr>
              <w:rPr>
                <w:rFonts w:ascii="Arial" w:hAnsi="Arial" w:cs="Arial"/>
                <w:sz w:val="24"/>
                <w:szCs w:val="24"/>
              </w:rPr>
            </w:pPr>
            <w:r w:rsidRPr="00B67B63">
              <w:rPr>
                <w:rFonts w:ascii="Arial" w:hAnsi="Arial" w:cs="Arial"/>
                <w:sz w:val="24"/>
                <w:szCs w:val="24"/>
              </w:rPr>
              <w:t>Contributes to regular audit activities and reports and acts upon findings</w:t>
            </w:r>
          </w:p>
          <w:p w:rsidR="001326E5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  <w:p w:rsidR="001326E5" w:rsidRPr="00B67B63" w:rsidRDefault="001326E5" w:rsidP="00372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3" w:type="dxa"/>
          </w:tcPr>
          <w:p w:rsidR="00B67B63" w:rsidRDefault="00B67B63" w:rsidP="0037201B"/>
        </w:tc>
      </w:tr>
    </w:tbl>
    <w:p w:rsidR="00B67B63" w:rsidRDefault="00B67B63" w:rsidP="0037201B"/>
    <w:p w:rsidR="001326E5" w:rsidRDefault="001326E5" w:rsidP="003720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26E5" w:rsidTr="002A5A3A">
        <w:tc>
          <w:tcPr>
            <w:tcW w:w="9016" w:type="dxa"/>
            <w:shd w:val="clear" w:color="auto" w:fill="C5E0B3" w:themeFill="accent6" w:themeFillTint="66"/>
          </w:tcPr>
          <w:p w:rsidR="001326E5" w:rsidRPr="002A5A3A" w:rsidRDefault="001326E5" w:rsidP="001326E5">
            <w:pPr>
              <w:pStyle w:val="Heading2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  <w:r w:rsidRPr="002A5A3A">
              <w:rPr>
                <w:rFonts w:ascii="Arial" w:hAnsi="Arial" w:cs="Arial"/>
                <w:color w:val="auto"/>
                <w:sz w:val="28"/>
                <w:szCs w:val="28"/>
              </w:rPr>
              <w:t>Additional Notes</w:t>
            </w: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  <w:tr w:rsidR="001326E5" w:rsidTr="002A5A3A">
        <w:tc>
          <w:tcPr>
            <w:tcW w:w="9016" w:type="dxa"/>
          </w:tcPr>
          <w:p w:rsidR="001326E5" w:rsidRDefault="001326E5" w:rsidP="002A5A3A">
            <w:pPr>
              <w:rPr>
                <w:rFonts w:ascii="Arial" w:hAnsi="Arial" w:cs="Arial"/>
                <w:b/>
                <w:color w:val="385623" w:themeColor="accent6" w:themeShade="80"/>
                <w:sz w:val="36"/>
                <w:szCs w:val="36"/>
              </w:rPr>
            </w:pPr>
          </w:p>
        </w:tc>
      </w:tr>
    </w:tbl>
    <w:p w:rsidR="001326E5" w:rsidRPr="0037201B" w:rsidRDefault="001326E5" w:rsidP="0037201B"/>
    <w:sectPr w:rsidR="001326E5" w:rsidRPr="0037201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D4" w:rsidRDefault="00CD50D4" w:rsidP="00C46644">
      <w:pPr>
        <w:spacing w:after="0" w:line="240" w:lineRule="auto"/>
      </w:pPr>
      <w:r>
        <w:separator/>
      </w:r>
    </w:p>
  </w:endnote>
  <w:endnote w:type="continuationSeparator" w:id="0">
    <w:p w:rsidR="00CD50D4" w:rsidRDefault="00CD50D4" w:rsidP="00C4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D4" w:rsidRDefault="00CD50D4" w:rsidP="00C46644">
      <w:pPr>
        <w:spacing w:after="0" w:line="240" w:lineRule="auto"/>
      </w:pPr>
      <w:r>
        <w:separator/>
      </w:r>
    </w:p>
  </w:footnote>
  <w:footnote w:type="continuationSeparator" w:id="0">
    <w:p w:rsidR="00CD50D4" w:rsidRDefault="00CD50D4" w:rsidP="00C46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44" w:rsidRDefault="00C46644">
    <w:pPr>
      <w:pStyle w:val="Header"/>
    </w:pPr>
    <w:r w:rsidRPr="00A00CCE">
      <w:rPr>
        <w:noProof/>
        <w:lang w:eastAsia="en-IE"/>
      </w:rPr>
      <w:drawing>
        <wp:inline distT="0" distB="0" distL="0" distR="0" wp14:anchorId="1CEA6E91" wp14:editId="68A06F63">
          <wp:extent cx="5731510" cy="730250"/>
          <wp:effectExtent l="0" t="0" r="2540" b="0"/>
          <wp:docPr id="9" name="Picture 9" descr="C:\Users\mariadonovan\AppData\Local\Microsoft\Windows\Temporary Internet Files\Content.Outlook\Y0IEY98J\Header with fax 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adonovan\AppData\Local\Microsoft\Windows\Temporary Internet Files\Content.Outlook\Y0IEY98J\Header with fax 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644" w:rsidRDefault="00C46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44"/>
    <w:rsid w:val="000376CD"/>
    <w:rsid w:val="000A397B"/>
    <w:rsid w:val="001326E5"/>
    <w:rsid w:val="001C1F3C"/>
    <w:rsid w:val="001C7B52"/>
    <w:rsid w:val="001D53CE"/>
    <w:rsid w:val="00331063"/>
    <w:rsid w:val="0037201B"/>
    <w:rsid w:val="003741C7"/>
    <w:rsid w:val="003E6916"/>
    <w:rsid w:val="004174D1"/>
    <w:rsid w:val="005A6DB2"/>
    <w:rsid w:val="005F0EB5"/>
    <w:rsid w:val="00600439"/>
    <w:rsid w:val="00891696"/>
    <w:rsid w:val="0093001F"/>
    <w:rsid w:val="009974B3"/>
    <w:rsid w:val="009C6E23"/>
    <w:rsid w:val="00AB513E"/>
    <w:rsid w:val="00B67B63"/>
    <w:rsid w:val="00B875A9"/>
    <w:rsid w:val="00C46644"/>
    <w:rsid w:val="00C66F3D"/>
    <w:rsid w:val="00CC79EE"/>
    <w:rsid w:val="00CD50D4"/>
    <w:rsid w:val="00DD7EC1"/>
    <w:rsid w:val="00E17F01"/>
    <w:rsid w:val="00E217AC"/>
    <w:rsid w:val="00EF2BFB"/>
    <w:rsid w:val="00F9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44"/>
  </w:style>
  <w:style w:type="paragraph" w:styleId="Footer">
    <w:name w:val="footer"/>
    <w:basedOn w:val="Normal"/>
    <w:link w:val="Foot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44"/>
  </w:style>
  <w:style w:type="character" w:customStyle="1" w:styleId="Heading1Char">
    <w:name w:val="Heading 1 Char"/>
    <w:basedOn w:val="DefaultParagraphFont"/>
    <w:link w:val="Heading1"/>
    <w:uiPriority w:val="9"/>
    <w:rsid w:val="00C46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7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C7B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6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44"/>
  </w:style>
  <w:style w:type="paragraph" w:styleId="Footer">
    <w:name w:val="footer"/>
    <w:basedOn w:val="Normal"/>
    <w:link w:val="FooterChar"/>
    <w:uiPriority w:val="99"/>
    <w:unhideWhenUsed/>
    <w:rsid w:val="00C46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44"/>
  </w:style>
  <w:style w:type="character" w:customStyle="1" w:styleId="Heading1Char">
    <w:name w:val="Heading 1 Char"/>
    <w:basedOn w:val="DefaultParagraphFont"/>
    <w:link w:val="Heading1"/>
    <w:uiPriority w:val="9"/>
    <w:rsid w:val="00C466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4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9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7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C7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E4E5-DF1A-4DDD-9B52-BAFF0D4A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1100</Words>
  <Characters>6271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in Ireland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Hamilton</dc:creator>
  <cp:lastModifiedBy>Michael Cresswell</cp:lastModifiedBy>
  <cp:revision>2</cp:revision>
  <cp:lastPrinted>2018-06-14T11:53:00Z</cp:lastPrinted>
  <dcterms:created xsi:type="dcterms:W3CDTF">2018-06-14T11:58:00Z</dcterms:created>
  <dcterms:modified xsi:type="dcterms:W3CDTF">2018-06-14T11:58:00Z</dcterms:modified>
</cp:coreProperties>
</file>